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10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42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6" w:hRule="atLeast"/>
        </w:trPr>
        <w:tc>
          <w:tcPr>
            <w:tcW w:w="4071" w:type="dxa"/>
          </w:tcPr>
          <w:p>
            <w:pPr>
              <w:ind w:firstLine="105" w:firstLineChars="50"/>
            </w:pPr>
            <w:bookmarkStart w:id="0" w:name="_GoBack"/>
            <w:bookmarkEnd w:id="0"/>
            <w:r>
              <w:rPr>
                <w:rFonts w:hint="eastAsia"/>
              </w:rPr>
              <w:drawing>
                <wp:inline distT="0" distB="0" distL="114300" distR="114300">
                  <wp:extent cx="2169795" cy="1905635"/>
                  <wp:effectExtent l="0" t="0" r="0" b="0"/>
                  <wp:docPr id="2" name="图片 2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>
            <w:pPr>
              <w:jc w:val="right"/>
            </w:pPr>
            <w:r>
              <w:rPr>
                <w:rFonts w:hint="eastAsia"/>
              </w:rPr>
              <w:drawing>
                <wp:inline distT="0" distB="0" distL="114300" distR="114300">
                  <wp:extent cx="2016760" cy="2016760"/>
                  <wp:effectExtent l="0" t="0" r="2540" b="0"/>
                  <wp:docPr id="1" name="图片 1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8293" w:type="dxa"/>
            <w:gridSpan w:val="2"/>
          </w:tcPr>
          <w:p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百日招聘56789直播带岗活动</w:t>
            </w:r>
          </w:p>
          <w:p>
            <w:pPr>
              <w:jc w:val="center"/>
              <w:rPr>
                <w:b/>
                <w:bCs/>
                <w:sz w:val="44"/>
                <w:szCs w:val="44"/>
              </w:rPr>
            </w:pPr>
          </w:p>
          <w:p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2022年6月1</w:t>
            </w:r>
            <w:r>
              <w:rPr>
                <w:b/>
                <w:bCs/>
                <w:sz w:val="44"/>
                <w:szCs w:val="44"/>
              </w:rPr>
              <w:t>7</w:t>
            </w:r>
            <w:r>
              <w:rPr>
                <w:rFonts w:hint="eastAsia"/>
                <w:b/>
                <w:bCs/>
                <w:sz w:val="44"/>
                <w:szCs w:val="44"/>
              </w:rPr>
              <w:t>日 企业简介</w:t>
            </w:r>
          </w:p>
          <w:p>
            <w:pPr>
              <w:jc w:val="center"/>
              <w:rPr>
                <w:sz w:val="44"/>
                <w:szCs w:val="44"/>
              </w:rPr>
            </w:pPr>
          </w:p>
          <w:p>
            <w:pPr>
              <w:rPr>
                <w:sz w:val="44"/>
                <w:szCs w:val="44"/>
              </w:rPr>
            </w:pPr>
          </w:p>
          <w:p>
            <w:pPr>
              <w:jc w:val="center"/>
              <w:rPr>
                <w:sz w:val="44"/>
                <w:szCs w:val="44"/>
              </w:rPr>
            </w:pPr>
          </w:p>
          <w:p>
            <w:pPr>
              <w:jc w:val="center"/>
              <w:rPr>
                <w:sz w:val="44"/>
                <w:szCs w:val="44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百日招聘56789直播带岗工作组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2022年6月1</w:t>
            </w:r>
            <w:r>
              <w:rPr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</w:tc>
      </w:tr>
    </w:tbl>
    <w:p/>
    <w:tbl>
      <w:tblPr>
        <w:tblStyle w:val="5"/>
        <w:tblW w:w="0" w:type="auto"/>
        <w:tblInd w:w="10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1"/>
        <w:gridCol w:w="66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671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972185" cy="854075"/>
                  <wp:effectExtent l="0" t="0" r="0" b="0"/>
                  <wp:docPr id="3" name="图片 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8" w:type="dxa"/>
          </w:tcPr>
          <w:p>
            <w:pPr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873760" cy="873760"/>
                  <wp:effectExtent l="0" t="0" r="2540" b="0"/>
                  <wp:docPr id="4" name="图片 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359" w:type="dxa"/>
            <w:gridSpan w:val="2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1、陕西京东信成供应链科技有限公司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1671" w:type="dxa"/>
          </w:tcPr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688" w:type="dxa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359" w:type="dxa"/>
            <w:gridSpan w:val="2"/>
          </w:tcPr>
          <w:p>
            <w:pPr>
              <w:ind w:firstLine="560" w:firstLineChars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京东集团2007年开始自建物流，2012年注册物流公司，2017年4月25日正式成立京东物流集团。京东物流以降低社会物流成本为使命，致力于将过去十余年积累的基础设施、管理经验、专业技术向社会全面开放，成为全球供应链基础设施服务商。 京东物流是全球拥有中小件、大件、冷链、B2B、跨境和众包(达达)六大物流网络的企业，凭借这六张大网在全球范围内的覆盖以及大数据、云计算、智能设备的应用，京东物流打造了一个从产品销量分析预测，到入库出库、再到运输配送各个环节无所不包，综合效率较优、算法最科学的智能供应链服务系统</w:t>
            </w:r>
            <w:r>
              <w:rPr>
                <w:rFonts w:hint="eastAsia"/>
                <w:sz w:val="28"/>
                <w:szCs w:val="28"/>
              </w:rPr>
              <w:t>。</w:t>
            </w:r>
            <w:r>
              <w:rPr>
                <w:sz w:val="28"/>
                <w:szCs w:val="28"/>
              </w:rPr>
              <w:t>截至2020年9月30日，京东物流在全国运营约800个仓库，30座大型智能化物流中心“亚洲一号”，投用了全国5G智能物流园区。包含云仓在内，京东物流运营管理的仓储总面积达到2000万平方米。京东物流大件和中小件网络已实现大陆行政区县近100%覆盖，自营配送服务覆盖了全国99%的人口，90%以上的自营订单可以在24小时内送达，90%区县可以实现24小时达。同时，京东物流着力推行战略级项目“青流计划”，从“环境(Planet)”、“人文社会(People)”和“经济(Profits)”三个方面，协同行业和社会力量共同关注人类的可持续发展。 围绕“短链、智能、共生”，京东物流坚持“体验为本、技术驱动、效率制胜”，携手社会各界共建全球智能供应链基础网络(GSSC)，为客户提供全供应链服务和技术解决方案，为消费者提供“有速度更有温度”的高品质物流服务。</w:t>
            </w:r>
          </w:p>
          <w:p>
            <w:pPr>
              <w:ind w:firstLine="560" w:firstLineChars="200"/>
              <w:rPr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1671" w:type="dxa"/>
          </w:tcPr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002</w:t>
            </w:r>
          </w:p>
        </w:tc>
        <w:tc>
          <w:tcPr>
            <w:tcW w:w="6688" w:type="dxa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359" w:type="dxa"/>
            <w:gridSpan w:val="2"/>
          </w:tcPr>
          <w:p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1、物流经理（</w:t>
            </w: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人）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1）招聘要求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大专及以上学历；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有较强的抗压能力，沟通能力佳，有上进心；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热爱销售，敢于挑战，认同企业文化及发展方向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2）岗位职责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负责拓展广西地区B端客户仓配供应链、快递快运及到仓业务开发，完成月销售指标；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维护与客户良好的合作关系，确保保持长期稳定的业务关系；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时刻关注并满足客户需求，结合公司的发展，扩大与客户的区域合作范围；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,4)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对新客户进行信息收集、拜访、提解决方案；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,5)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严格遵守公司的财务制度，对应收账款负责，对销售费用进行有效控制。</w:t>
            </w:r>
          </w:p>
          <w:p>
            <w:pPr>
              <w:jc w:val="left"/>
              <w:rPr>
                <w:sz w:val="28"/>
                <w:szCs w:val="28"/>
              </w:rPr>
            </w:pP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2、物流运营（</w:t>
            </w:r>
            <w:r>
              <w:rPr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人）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1）招聘要求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大专以上学历，物流及相关专业毕业生优先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有1年相关全职工作经验，优秀应届生也可考虑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能吃苦耐劳，沟通能力良好，能承受高强度工作压力，有志于在物流行业长期发展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2）岗位职责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协助站长负责配送体系所属站点的运作管理，确保站点配送正常高效运转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不断优化所属区域的配送安排，达到配送质量目标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负责所属配送站点的日常总结及报表、员工日常培训等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,4)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协调解决配送员在工作及生活中遇到的困难和问题，营造高效的工作氛围。</w:t>
            </w:r>
          </w:p>
          <w:p>
            <w:pPr>
              <w:jc w:val="left"/>
              <w:rPr>
                <w:sz w:val="28"/>
                <w:szCs w:val="28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W w:w="0" w:type="auto"/>
        <w:tblInd w:w="10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1"/>
        <w:gridCol w:w="65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671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972185" cy="854075"/>
                  <wp:effectExtent l="0" t="0" r="0" b="0"/>
                  <wp:docPr id="11" name="图片 11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>
            <w:pPr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873760" cy="873760"/>
                  <wp:effectExtent l="0" t="0" r="2540" b="0"/>
                  <wp:docPr id="12" name="图片 12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217" w:type="dxa"/>
            <w:gridSpan w:val="2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2、鲁南制药集团股份有限公司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671" w:type="dxa"/>
          </w:tcPr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46" w:type="dxa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217" w:type="dxa"/>
            <w:gridSpan w:val="2"/>
          </w:tcPr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鲁南制药集团是集中药、化学药品、生物制品的生产、科研、销售于一体的综合制药集团，国家创新型企业、国家火炬计划重点高新技术企业，成员企业包括鲁南厚普制药有限公司、鲁南贝特制药有限公司、山东新时代药业有限公司、鲁南新时代医药有限公司等七家子公司，位列中国大企业集团竞争力500强，连续八年荣登山东省纳税100强榜。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1671" w:type="dxa"/>
          </w:tcPr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002</w:t>
            </w:r>
          </w:p>
        </w:tc>
        <w:tc>
          <w:tcPr>
            <w:tcW w:w="6546" w:type="dxa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217" w:type="dxa"/>
            <w:gridSpan w:val="2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1、</w:t>
            </w:r>
            <w:r>
              <w:rPr>
                <w:sz w:val="28"/>
                <w:szCs w:val="28"/>
              </w:rPr>
              <w:t>临床监查员</w:t>
            </w:r>
            <w:r>
              <w:rPr>
                <w:rFonts w:hint="eastAsia"/>
                <w:sz w:val="28"/>
                <w:szCs w:val="28"/>
              </w:rPr>
              <w:t>（3人）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1）招聘要求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本科及以上学历，医学、护理学、药学等相关专业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熟悉临床试验相关的法规和指导原则；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熟悉与临床试验相关的医学、药学相关知识；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,4)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熟悉公司、部门的管理制度、SOP；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,5)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熟悉临床试验方案、研究者手册、监查计划；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,6)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熟悉EDC系统、相关试验文件的执行标准；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,7)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熟练使用办公软件，具有一定英文阅读能力；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,8)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良好的沟通协调能力和执行力；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,9)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能适应长期出差。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2）岗位职责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负责临床研究中心试验条件的考察评估；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负责协助项目经理组织临床试验研究者会；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负责研究中心的临床试验立项；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,4)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负责研究中心的临床试验伦理审查的递交与协调；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,5)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负责从研究中心的收集临床试验遗传办审批所需相关文件；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,6)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负责研究中心临床试验合同沟通、签订； </w:t>
            </w:r>
          </w:p>
          <w:p>
            <w:pPr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,7)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负责研究中心临床试验费用的结算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>
            <w:pPr>
              <w:jc w:val="left"/>
              <w:rPr>
                <w:sz w:val="28"/>
                <w:szCs w:val="28"/>
              </w:rPr>
            </w:pP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2、产品运营（3人）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1）招聘要求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 xml:space="preserve">有较强的文字功底和写作能力；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 xml:space="preserve">有过传媒和广告行业实习经验者优先录用；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 xml:space="preserve">医药、化学、生物学相关专业者优先录用； 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,4)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>有过论文发表经历者优先录用。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2）岗位职责</w:t>
            </w:r>
          </w:p>
          <w:p>
            <w:pPr>
              <w:widowControl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 xml:space="preserve">自媒体平台及双微运营； </w:t>
            </w:r>
          </w:p>
          <w:p>
            <w:pPr>
              <w:widowControl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 xml:space="preserve">产品软文写作及投放； </w:t>
            </w:r>
          </w:p>
          <w:p>
            <w:pPr>
              <w:widowControl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 xml:space="preserve">产品营销策略制定及落地； 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,4)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>事件营销策划及执行。</w:t>
            </w:r>
          </w:p>
          <w:p>
            <w:pPr>
              <w:jc w:val="left"/>
              <w:rPr>
                <w:sz w:val="28"/>
                <w:szCs w:val="28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W w:w="0" w:type="auto"/>
        <w:tblInd w:w="10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1"/>
        <w:gridCol w:w="65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671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972185" cy="854075"/>
                  <wp:effectExtent l="0" t="0" r="0" b="0"/>
                  <wp:docPr id="13" name="图片 1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>
            <w:pPr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873760" cy="873760"/>
                  <wp:effectExtent l="0" t="0" r="2540" b="0"/>
                  <wp:docPr id="14" name="图片 1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226" w:type="dxa"/>
            <w:gridSpan w:val="2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3、苏州华太电子技术有限公司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1671" w:type="dxa"/>
          </w:tcPr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55" w:type="dxa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226" w:type="dxa"/>
            <w:gridSpan w:val="2"/>
          </w:tcPr>
          <w:p>
            <w:pPr>
              <w:ind w:firstLine="56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苏州华太电子技术有限公司成立2010年，为射频功率和功率行业提供领先的解决方案。经过十多年的研发，华太已经开发了器件和工艺技术，获得了核心技术专利，并使用国产晶圆制造工艺创新实现了高性能LDMOS，GaN，超级IGBT，SiC SBD，PUF芯片以及工控MCU产品的国产化。主要市场领域包括：通讯、能源与电源、汽车电子。专业的团队和创新的核心技术是华太优于其他公司的竞争优势。</w:t>
            </w:r>
          </w:p>
          <w:p>
            <w:pPr>
              <w:ind w:firstLine="56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sz w:val="28"/>
                <w:szCs w:val="28"/>
              </w:rPr>
              <w:t>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我们的团队精通器件设计、工艺开发、功放设计、大信号模型开发、单片微波集成电路设计、封装设计、可靠性测试和量产。未来，华太将继续培育新兴技术，为全球客户提供创新解决方案。</w:t>
            </w:r>
          </w:p>
          <w:p>
            <w:pPr>
              <w:ind w:firstLine="560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1671" w:type="dxa"/>
          </w:tcPr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002</w:t>
            </w:r>
          </w:p>
        </w:tc>
        <w:tc>
          <w:tcPr>
            <w:tcW w:w="6555" w:type="dxa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226" w:type="dxa"/>
            <w:gridSpan w:val="2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1、IC设计工程师（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人）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1）招聘要求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硕士及以上学历，微电子/电子/集成电路等相关专业；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熟练使用各种EDA工具，如VCS、Verdi、DC、PT、Conformal、Spyglass、VCLP等；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掌握至少一种脚本语言，如Shell、Perl、TCL、Makefile、Python等；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,4)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具备良好的团队意识和快速解决问题的能力，主动性、责任感强。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2）岗位职责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电源管理IC、驱动IC开发，SOC开发；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搭建、维护和优化IC前端设计流程与环境；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协助芯片测试工程师，完成芯片的验证与测试。</w:t>
            </w:r>
          </w:p>
          <w:p>
            <w:pPr>
              <w:jc w:val="left"/>
              <w:rPr>
                <w:sz w:val="28"/>
                <w:szCs w:val="28"/>
              </w:rPr>
            </w:pP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2、IT运维工程师（</w:t>
            </w:r>
            <w:r>
              <w:rPr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人）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1）招聘要求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大专及以上学历，计算机相关专业；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具有IT架构搭建和桌面运维经验优先；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责任心强，素质良好。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2）岗位职责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负责公司网络、电脑、打印机等运维工作；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负责电脑程序安装、异常问题解决等；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完成领导安排的其他事宜。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W w:w="8401" w:type="dxa"/>
        <w:tblInd w:w="10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1"/>
        <w:gridCol w:w="67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671" w:type="dxa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972185" cy="854075"/>
                  <wp:effectExtent l="0" t="0" r="0" b="0"/>
                  <wp:docPr id="15" name="图片 15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>
            <w:pPr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873760" cy="873760"/>
                  <wp:effectExtent l="0" t="0" r="2540" b="0"/>
                  <wp:docPr id="16" name="图片 16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401" w:type="dxa"/>
            <w:gridSpan w:val="2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4、湖北富邦科技股份有限公司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1671" w:type="dxa"/>
          </w:tcPr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730" w:type="dxa"/>
          </w:tcPr>
          <w:p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401" w:type="dxa"/>
            <w:gridSpan w:val="2"/>
          </w:tcPr>
          <w:p>
            <w:pPr>
              <w:ind w:firstLine="56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湖北富邦科技股份有限公司（股票代码：300387）是一家利用新材料、新工艺、新技术、大数据、人工智能等方式服务现代农业的国家高新技术企业，是中国肥料助剂创新者，是中国数字农业引领者。</w:t>
            </w:r>
            <w:r>
              <w:rPr>
                <w:rFonts w:ascii="宋体" w:hAnsi="宋体" w:eastAsia="宋体"/>
                <w:sz w:val="28"/>
                <w:szCs w:val="28"/>
              </w:rPr>
              <w:br w:type="textWrapping"/>
            </w:r>
            <w:r>
              <w:rPr>
                <w:rFonts w:ascii="宋体" w:hAnsi="宋体" w:eastAsia="宋体"/>
                <w:sz w:val="28"/>
                <w:szCs w:val="28"/>
              </w:rPr>
              <w:t>　　公司以化肥生产链为价值导向，为化肥生产企业提供包括高品质的助剂产品、优良的全程技术服务及精确的助剂自动控制系统的整体解决方案。</w:t>
            </w:r>
            <w:r>
              <w:rPr>
                <w:rFonts w:ascii="宋体" w:hAnsi="宋体" w:eastAsia="宋体"/>
                <w:sz w:val="28"/>
                <w:szCs w:val="28"/>
              </w:rPr>
              <w:br w:type="textWrapping"/>
            </w:r>
            <w:r>
              <w:rPr>
                <w:rFonts w:ascii="宋体" w:hAnsi="宋体" w:eastAsia="宋体"/>
                <w:sz w:val="28"/>
                <w:szCs w:val="28"/>
              </w:rPr>
              <w:t>　　公司控股子公司荷兰诺唯凯与法国PST是欧洲市场主要的化肥助剂提供商之一，也是全球市场主要的多孔硝铵添加剂供应商之一。</w:t>
            </w:r>
          </w:p>
          <w:p>
            <w:pPr>
              <w:ind w:firstLine="560"/>
              <w:rPr>
                <w:rFonts w:ascii="宋体" w:hAnsi="宋体" w:eastAsia="宋体"/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1671" w:type="dxa"/>
          </w:tcPr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002</w:t>
            </w:r>
          </w:p>
        </w:tc>
        <w:tc>
          <w:tcPr>
            <w:tcW w:w="6730" w:type="dxa"/>
          </w:tcPr>
          <w:p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岗位简介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8401" w:type="dxa"/>
            <w:gridSpan w:val="2"/>
          </w:tcPr>
          <w:p>
            <w:pPr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1、销售工程师（</w:t>
            </w:r>
            <w:r>
              <w:rPr>
                <w:rFonts w:ascii="宋体" w:hAnsi="宋体" w:eastAsia="宋体"/>
                <w:sz w:val="28"/>
                <w:szCs w:val="28"/>
              </w:rPr>
              <w:t>5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人）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1）招聘要求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fldChar w:fldCharType="begin"/>
            </w:r>
            <w:r>
              <w:rPr>
                <w:rFonts w:ascii="宋体" w:hAnsi="宋体" w:eastAsia="宋体"/>
                <w:sz w:val="28"/>
                <w:szCs w:val="28"/>
              </w:rPr>
              <w:instrText xml:space="preserve"> 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 w:hAnsi="宋体" w:eastAsia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,1)</w:instrText>
            </w:r>
            <w:r>
              <w:rPr>
                <w:rFonts w:ascii="宋体" w:hAnsi="宋体" w:eastAsia="宋体"/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有以土壤检测技术进行测土配肥，水肥一体化、精准种植，能促进肥料销售的新模式；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fldChar w:fldCharType="begin"/>
            </w:r>
            <w:r>
              <w:rPr>
                <w:rFonts w:ascii="宋体" w:hAnsi="宋体" w:eastAsia="宋体"/>
                <w:sz w:val="28"/>
                <w:szCs w:val="28"/>
              </w:rPr>
              <w:instrText xml:space="preserve"> 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 w:hAnsi="宋体" w:eastAsia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,2)</w:instrText>
            </w:r>
            <w:r>
              <w:rPr>
                <w:rFonts w:ascii="宋体" w:hAnsi="宋体" w:eastAsia="宋体"/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以人工智能为抓手，利用物联网服务乡村振兴的业务模式。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2）岗位职责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fldChar w:fldCharType="begin"/>
            </w:r>
            <w:r>
              <w:rPr>
                <w:rFonts w:ascii="宋体" w:hAnsi="宋体" w:eastAsia="宋体"/>
                <w:sz w:val="28"/>
                <w:szCs w:val="28"/>
              </w:rPr>
              <w:instrText xml:space="preserve"> 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 w:hAnsi="宋体" w:eastAsia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,1)</w:instrText>
            </w:r>
            <w:r>
              <w:rPr>
                <w:rFonts w:ascii="宋体" w:hAnsi="宋体" w:eastAsia="宋体"/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完成个人销售和回款任务，达成销售业绩目标；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fldChar w:fldCharType="begin"/>
            </w:r>
            <w:r>
              <w:rPr>
                <w:rFonts w:ascii="宋体" w:hAnsi="宋体" w:eastAsia="宋体"/>
                <w:sz w:val="28"/>
                <w:szCs w:val="28"/>
              </w:rPr>
              <w:instrText xml:space="preserve"> 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 w:hAnsi="宋体" w:eastAsia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,2)</w:instrText>
            </w:r>
            <w:r>
              <w:rPr>
                <w:rFonts w:ascii="宋体" w:hAnsi="宋体" w:eastAsia="宋体"/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负责新客户开发，老客户服务、维护；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fldChar w:fldCharType="begin"/>
            </w:r>
            <w:r>
              <w:rPr>
                <w:rFonts w:ascii="宋体" w:hAnsi="宋体" w:eastAsia="宋体"/>
                <w:sz w:val="28"/>
                <w:szCs w:val="28"/>
              </w:rPr>
              <w:instrText xml:space="preserve"> 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 w:hAnsi="宋体" w:eastAsia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,3)</w:instrText>
            </w:r>
            <w:r>
              <w:rPr>
                <w:rFonts w:ascii="宋体" w:hAnsi="宋体" w:eastAsia="宋体"/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市场行情分析，定期提交市场分析报告，为公司决策提供依据；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fldChar w:fldCharType="begin"/>
            </w:r>
            <w:r>
              <w:rPr>
                <w:rFonts w:ascii="宋体" w:hAnsi="宋体" w:eastAsia="宋体"/>
                <w:sz w:val="28"/>
                <w:szCs w:val="28"/>
              </w:rPr>
              <w:instrText xml:space="preserve"> 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 w:hAnsi="宋体" w:eastAsia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,4)</w:instrText>
            </w:r>
            <w:r>
              <w:rPr>
                <w:rFonts w:ascii="宋体" w:hAnsi="宋体" w:eastAsia="宋体"/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负责协调新产品、客户合作初期的技术对接事项，促进合作完成。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2、薪酬绩效主管（</w:t>
            </w:r>
            <w:r>
              <w:rPr>
                <w:rFonts w:ascii="宋体" w:hAnsi="宋体" w:eastAsia="宋体"/>
                <w:sz w:val="28"/>
                <w:szCs w:val="28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人）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1）招聘要求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fldChar w:fldCharType="begin"/>
            </w:r>
            <w:r>
              <w:rPr>
                <w:rFonts w:ascii="宋体" w:hAnsi="宋体" w:eastAsia="宋体"/>
                <w:sz w:val="28"/>
                <w:szCs w:val="28"/>
              </w:rPr>
              <w:instrText xml:space="preserve"> 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 w:hAnsi="宋体" w:eastAsia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 w:ascii="宋体" w:hAnsi="宋体" w:eastAsia="宋体"/>
                <w:sz w:val="28"/>
                <w:szCs w:val="28"/>
              </w:rPr>
              <w:instrText xml:space="preserve">,1)</w:instrText>
            </w:r>
            <w:r>
              <w:rPr>
                <w:rFonts w:ascii="宋体" w:hAnsi="宋体" w:eastAsia="宋体"/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本科及以上学历，CET6；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有绩效、薪酬、培训、企业文化等任意2个模块的独立操作能力；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逻辑性好，思维清晰，敢于创新，善于沟通，目标导向性强。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2）岗位职责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,1)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全面参与和负责公司人力资源管理，如战略规划，各类制度建设，人才管理，企业文化等管理工作</w:t>
            </w:r>
            <w:r>
              <w:rPr>
                <w:sz w:val="28"/>
                <w:szCs w:val="28"/>
              </w:rPr>
              <w:t>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 w:eastAsia="宋体"/>
                <w:sz w:val="28"/>
                <w:szCs w:val="28"/>
              </w:rPr>
              <w:t>负责公司公司各级员工激励管理，完成公司绩效、薪酬、员工发展等制度的调整与完善</w:t>
            </w:r>
            <w:r>
              <w:rPr>
                <w:sz w:val="28"/>
                <w:szCs w:val="28"/>
              </w:rPr>
              <w:t>；</w:t>
            </w:r>
          </w:p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 xml:space="preserve">eq \o\ac(</w:instrText>
            </w:r>
            <w:r>
              <w:rPr>
                <w:rFonts w:hint="eastAsia" w:ascii="宋体"/>
                <w:position w:val="-5"/>
                <w:sz w:val="42"/>
                <w:szCs w:val="28"/>
              </w:rPr>
              <w:instrText xml:space="preserve">○</w:instrText>
            </w:r>
            <w:r>
              <w:rPr>
                <w:rFonts w:hint="eastAsia"/>
                <w:sz w:val="28"/>
                <w:szCs w:val="28"/>
              </w:rPr>
              <w:instrText xml:space="preserve"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>完成领导安排的其他事宜。</w:t>
            </w:r>
          </w:p>
        </w:tc>
      </w:tr>
    </w:tbl>
    <w:p>
      <w:pPr>
        <w:rPr>
          <w:rFonts w:hint="eastAsia"/>
        </w:rPr>
      </w:pPr>
    </w:p>
    <w:p/>
    <w:tbl>
      <w:tblPr>
        <w:tblStyle w:val="5"/>
        <w:tblW w:w="8293" w:type="dxa"/>
        <w:tblInd w:w="10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1"/>
        <w:gridCol w:w="66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671" w:type="dxa"/>
          </w:tcPr>
          <w:p/>
        </w:tc>
        <w:tc>
          <w:tcPr>
            <w:tcW w:w="6622" w:type="dxa"/>
          </w:tcPr>
          <w:p>
            <w:pPr>
              <w:jc w:val="left"/>
            </w:pPr>
          </w:p>
        </w:tc>
      </w:tr>
    </w:tbl>
    <w:p>
      <w:pPr>
        <w:rPr>
          <w:rFonts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83E65"/>
    <w:multiLevelType w:val="multilevel"/>
    <w:tmpl w:val="0E783E65"/>
    <w:lvl w:ilvl="0" w:tentative="0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96"/>
    <w:rsid w:val="00012A28"/>
    <w:rsid w:val="00017397"/>
    <w:rsid w:val="00023E73"/>
    <w:rsid w:val="000434D5"/>
    <w:rsid w:val="00063159"/>
    <w:rsid w:val="0007124F"/>
    <w:rsid w:val="00091EA7"/>
    <w:rsid w:val="000A0DEA"/>
    <w:rsid w:val="000E1898"/>
    <w:rsid w:val="000E2912"/>
    <w:rsid w:val="0010642C"/>
    <w:rsid w:val="00123B89"/>
    <w:rsid w:val="001415A0"/>
    <w:rsid w:val="00154827"/>
    <w:rsid w:val="001848CF"/>
    <w:rsid w:val="001A007E"/>
    <w:rsid w:val="001A0846"/>
    <w:rsid w:val="001C2663"/>
    <w:rsid w:val="001C3526"/>
    <w:rsid w:val="001C5392"/>
    <w:rsid w:val="001C7F89"/>
    <w:rsid w:val="001D27A4"/>
    <w:rsid w:val="001D372D"/>
    <w:rsid w:val="001E4FB7"/>
    <w:rsid w:val="001E6325"/>
    <w:rsid w:val="002013BC"/>
    <w:rsid w:val="00227576"/>
    <w:rsid w:val="00270BF0"/>
    <w:rsid w:val="00294A77"/>
    <w:rsid w:val="002A75A7"/>
    <w:rsid w:val="002B62C4"/>
    <w:rsid w:val="002C0940"/>
    <w:rsid w:val="002D499D"/>
    <w:rsid w:val="002D55A2"/>
    <w:rsid w:val="002F0A58"/>
    <w:rsid w:val="002F160C"/>
    <w:rsid w:val="002F5BDE"/>
    <w:rsid w:val="00316D49"/>
    <w:rsid w:val="00316F70"/>
    <w:rsid w:val="00323538"/>
    <w:rsid w:val="0033217B"/>
    <w:rsid w:val="003360C4"/>
    <w:rsid w:val="003413AA"/>
    <w:rsid w:val="00376F7F"/>
    <w:rsid w:val="00384224"/>
    <w:rsid w:val="003A0F29"/>
    <w:rsid w:val="003E583D"/>
    <w:rsid w:val="003F5180"/>
    <w:rsid w:val="00416DAE"/>
    <w:rsid w:val="0042095E"/>
    <w:rsid w:val="00421447"/>
    <w:rsid w:val="00425237"/>
    <w:rsid w:val="004312E6"/>
    <w:rsid w:val="004407A0"/>
    <w:rsid w:val="00446252"/>
    <w:rsid w:val="00450834"/>
    <w:rsid w:val="00450CA1"/>
    <w:rsid w:val="00470247"/>
    <w:rsid w:val="0047356D"/>
    <w:rsid w:val="004B20D3"/>
    <w:rsid w:val="004D6F28"/>
    <w:rsid w:val="004E05A8"/>
    <w:rsid w:val="00502B7A"/>
    <w:rsid w:val="00517DDC"/>
    <w:rsid w:val="00525234"/>
    <w:rsid w:val="005555A9"/>
    <w:rsid w:val="00560E0F"/>
    <w:rsid w:val="00581E24"/>
    <w:rsid w:val="00584A3D"/>
    <w:rsid w:val="005A68AE"/>
    <w:rsid w:val="005E3A8E"/>
    <w:rsid w:val="005E41CA"/>
    <w:rsid w:val="005F1523"/>
    <w:rsid w:val="005F1860"/>
    <w:rsid w:val="005F3F72"/>
    <w:rsid w:val="005F57EA"/>
    <w:rsid w:val="00611E85"/>
    <w:rsid w:val="006260BE"/>
    <w:rsid w:val="00635F4F"/>
    <w:rsid w:val="006374F1"/>
    <w:rsid w:val="006437D9"/>
    <w:rsid w:val="00656193"/>
    <w:rsid w:val="006A27CC"/>
    <w:rsid w:val="006B1B7A"/>
    <w:rsid w:val="006B6B16"/>
    <w:rsid w:val="006C1D37"/>
    <w:rsid w:val="006D736F"/>
    <w:rsid w:val="006F3603"/>
    <w:rsid w:val="00710706"/>
    <w:rsid w:val="00720858"/>
    <w:rsid w:val="0075791C"/>
    <w:rsid w:val="007625B2"/>
    <w:rsid w:val="007672A2"/>
    <w:rsid w:val="00775ABC"/>
    <w:rsid w:val="007774DA"/>
    <w:rsid w:val="0078584A"/>
    <w:rsid w:val="00786EE5"/>
    <w:rsid w:val="007930A3"/>
    <w:rsid w:val="00797C7F"/>
    <w:rsid w:val="007B0B84"/>
    <w:rsid w:val="007C319A"/>
    <w:rsid w:val="007F40CB"/>
    <w:rsid w:val="007F5A5F"/>
    <w:rsid w:val="007F7A1E"/>
    <w:rsid w:val="0080420C"/>
    <w:rsid w:val="00804A00"/>
    <w:rsid w:val="00831FD1"/>
    <w:rsid w:val="00834B49"/>
    <w:rsid w:val="008503A9"/>
    <w:rsid w:val="00861320"/>
    <w:rsid w:val="00895136"/>
    <w:rsid w:val="008B15C6"/>
    <w:rsid w:val="008C5FEC"/>
    <w:rsid w:val="008E1E00"/>
    <w:rsid w:val="008E73DA"/>
    <w:rsid w:val="008F3739"/>
    <w:rsid w:val="008F3BBD"/>
    <w:rsid w:val="00932D81"/>
    <w:rsid w:val="00935C16"/>
    <w:rsid w:val="00941CE7"/>
    <w:rsid w:val="0096588B"/>
    <w:rsid w:val="0096596E"/>
    <w:rsid w:val="00981861"/>
    <w:rsid w:val="009F06F5"/>
    <w:rsid w:val="00A1274E"/>
    <w:rsid w:val="00A146E4"/>
    <w:rsid w:val="00A15F4C"/>
    <w:rsid w:val="00A1770C"/>
    <w:rsid w:val="00A3146A"/>
    <w:rsid w:val="00A46FA3"/>
    <w:rsid w:val="00A55C4C"/>
    <w:rsid w:val="00A72331"/>
    <w:rsid w:val="00A8163E"/>
    <w:rsid w:val="00A847B4"/>
    <w:rsid w:val="00A963F5"/>
    <w:rsid w:val="00AB0845"/>
    <w:rsid w:val="00AC1FF9"/>
    <w:rsid w:val="00AD40E8"/>
    <w:rsid w:val="00B70E48"/>
    <w:rsid w:val="00B967B3"/>
    <w:rsid w:val="00BA0D13"/>
    <w:rsid w:val="00BA7D4B"/>
    <w:rsid w:val="00BB1189"/>
    <w:rsid w:val="00BC7076"/>
    <w:rsid w:val="00BD1E83"/>
    <w:rsid w:val="00BE4110"/>
    <w:rsid w:val="00C12ADD"/>
    <w:rsid w:val="00C17BE2"/>
    <w:rsid w:val="00C2236F"/>
    <w:rsid w:val="00C75658"/>
    <w:rsid w:val="00C83D62"/>
    <w:rsid w:val="00C84548"/>
    <w:rsid w:val="00C845B1"/>
    <w:rsid w:val="00C90B96"/>
    <w:rsid w:val="00CA1FDE"/>
    <w:rsid w:val="00CA3872"/>
    <w:rsid w:val="00CA6222"/>
    <w:rsid w:val="00CB1944"/>
    <w:rsid w:val="00CC25DB"/>
    <w:rsid w:val="00CD4B71"/>
    <w:rsid w:val="00CE0C41"/>
    <w:rsid w:val="00CE4CE8"/>
    <w:rsid w:val="00D3561F"/>
    <w:rsid w:val="00D433AE"/>
    <w:rsid w:val="00D62685"/>
    <w:rsid w:val="00D7435E"/>
    <w:rsid w:val="00D758BC"/>
    <w:rsid w:val="00D75D76"/>
    <w:rsid w:val="00D87CCC"/>
    <w:rsid w:val="00D979FD"/>
    <w:rsid w:val="00DA1B15"/>
    <w:rsid w:val="00DA3FE2"/>
    <w:rsid w:val="00DD7E35"/>
    <w:rsid w:val="00DE6BB3"/>
    <w:rsid w:val="00DF3C5A"/>
    <w:rsid w:val="00E22E66"/>
    <w:rsid w:val="00E24FE4"/>
    <w:rsid w:val="00E26485"/>
    <w:rsid w:val="00E34D0D"/>
    <w:rsid w:val="00E465FF"/>
    <w:rsid w:val="00E6120C"/>
    <w:rsid w:val="00E66692"/>
    <w:rsid w:val="00E948B0"/>
    <w:rsid w:val="00E94AC3"/>
    <w:rsid w:val="00EC127F"/>
    <w:rsid w:val="00EC4AF0"/>
    <w:rsid w:val="00EC6B3B"/>
    <w:rsid w:val="00ED71CD"/>
    <w:rsid w:val="00F0436D"/>
    <w:rsid w:val="00F13104"/>
    <w:rsid w:val="00F226C5"/>
    <w:rsid w:val="00F24E35"/>
    <w:rsid w:val="00F52D3C"/>
    <w:rsid w:val="00F537D7"/>
    <w:rsid w:val="00F57EB4"/>
    <w:rsid w:val="00F82A72"/>
    <w:rsid w:val="00F92A45"/>
    <w:rsid w:val="00F941BB"/>
    <w:rsid w:val="00F95676"/>
    <w:rsid w:val="00FB1C02"/>
    <w:rsid w:val="00FB4A25"/>
    <w:rsid w:val="00FC2DC8"/>
    <w:rsid w:val="00FF1B2D"/>
    <w:rsid w:val="03ED7D17"/>
    <w:rsid w:val="05173494"/>
    <w:rsid w:val="09400BD5"/>
    <w:rsid w:val="14DB1648"/>
    <w:rsid w:val="1D80281D"/>
    <w:rsid w:val="236A79D7"/>
    <w:rsid w:val="254B7D09"/>
    <w:rsid w:val="2834781C"/>
    <w:rsid w:val="2867246C"/>
    <w:rsid w:val="3C6E7111"/>
    <w:rsid w:val="3D712B58"/>
    <w:rsid w:val="409A1B79"/>
    <w:rsid w:val="453F69EF"/>
    <w:rsid w:val="4C183BEC"/>
    <w:rsid w:val="5AF346C5"/>
    <w:rsid w:val="5CA72201"/>
    <w:rsid w:val="629936A2"/>
    <w:rsid w:val="635E4D35"/>
    <w:rsid w:val="65FB194E"/>
    <w:rsid w:val="6744246B"/>
    <w:rsid w:val="6BB837D5"/>
    <w:rsid w:val="756A02F9"/>
    <w:rsid w:val="76EE0C79"/>
    <w:rsid w:val="77704B1C"/>
    <w:rsid w:val="7ACC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uiPriority w:val="99"/>
    <w:pPr>
      <w:ind w:firstLine="420" w:firstLineChars="200"/>
    </w:pPr>
  </w:style>
  <w:style w:type="character" w:customStyle="1" w:styleId="10">
    <w:name w:val="标题 1 字符"/>
    <w:basedOn w:val="6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1">
    <w:name w:val="Unresolved Mention"/>
    <w:basedOn w:val="6"/>
    <w:qFormat/>
    <w:uiPriority w:val="0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2983</Words>
  <Characters>3174</Characters>
  <Lines>30</Lines>
  <Paragraphs>8</Paragraphs>
  <TotalTime>56</TotalTime>
  <ScaleCrop>false</ScaleCrop>
  <LinksUpToDate>false</LinksUpToDate>
  <CharactersWithSpaces>3203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2022-06-16T06:32:00Z</dcterms:created>
  <dc:creator>Administrator</dc:creator>
  <cp:lastModifiedBy>starry key</cp:lastModifiedBy>
  <cp:lastPrinted>2022-05-31T09:33:00Z</cp:lastPrinted>
  <dcterms:modified xsi:type="dcterms:W3CDTF">2022-06-17T02:38:21Z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8EBFB8EE668E435DAADC8C9D7F2C6667</vt:lpwstr>
  </property>
</Properties>
</file>